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3B9F9">
      <w:pPr>
        <w:jc w:val="center"/>
        <w:rPr>
          <w:rFonts w:asciiTheme="minorEastAsia" w:hAnsiTheme="minorEastAsia"/>
          <w:b/>
          <w:sz w:val="36"/>
          <w:szCs w:val="36"/>
        </w:rPr>
      </w:pPr>
      <w:r>
        <w:rPr>
          <w:rFonts w:hint="eastAsia" w:asciiTheme="minorEastAsia" w:hAnsiTheme="minorEastAsia"/>
          <w:b/>
          <w:kern w:val="44"/>
          <w:sz w:val="36"/>
          <w:szCs w:val="36"/>
        </w:rPr>
        <w:t>2025年度天津市科学技术奖提名项目公示材料</w:t>
      </w:r>
    </w:p>
    <w:tbl>
      <w:tblPr>
        <w:tblStyle w:val="7"/>
        <w:tblW w:w="8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4124"/>
        <w:gridCol w:w="1280"/>
        <w:gridCol w:w="1757"/>
      </w:tblGrid>
      <w:tr w14:paraId="73A5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388" w:type="dxa"/>
            <w:vAlign w:val="center"/>
          </w:tcPr>
          <w:p w14:paraId="6C577C18">
            <w:pPr>
              <w:jc w:val="center"/>
              <w:rPr>
                <w:rFonts w:ascii="宋体" w:hAnsi="宋体"/>
                <w:sz w:val="28"/>
                <w:szCs w:val="28"/>
              </w:rPr>
            </w:pPr>
            <w:r>
              <w:rPr>
                <w:rFonts w:hint="eastAsia" w:ascii="宋体" w:hAnsi="宋体"/>
                <w:sz w:val="28"/>
                <w:szCs w:val="28"/>
              </w:rPr>
              <w:t>项目名称</w:t>
            </w:r>
          </w:p>
        </w:tc>
        <w:tc>
          <w:tcPr>
            <w:tcW w:w="7161" w:type="dxa"/>
            <w:gridSpan w:val="3"/>
            <w:vAlign w:val="center"/>
          </w:tcPr>
          <w:p w14:paraId="5F4D90D8">
            <w:pPr>
              <w:jc w:val="center"/>
              <w:rPr>
                <w:rFonts w:ascii="宋体" w:hAnsi="宋体"/>
                <w:sz w:val="24"/>
                <w:szCs w:val="24"/>
              </w:rPr>
            </w:pPr>
            <w:r>
              <w:rPr>
                <w:rFonts w:hint="eastAsia" w:ascii="宋体" w:hAnsi="宋体"/>
                <w:sz w:val="24"/>
                <w:szCs w:val="24"/>
                <w:lang w:val="en-US" w:eastAsia="zh-CN"/>
              </w:rPr>
              <w:t>滨海平原区农田节水控盐关键技术及装备研究与应用</w:t>
            </w:r>
          </w:p>
        </w:tc>
      </w:tr>
      <w:tr w14:paraId="17DF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88" w:type="dxa"/>
            <w:vAlign w:val="center"/>
          </w:tcPr>
          <w:p w14:paraId="6A895E59">
            <w:pPr>
              <w:jc w:val="center"/>
              <w:rPr>
                <w:rFonts w:ascii="宋体" w:hAnsi="宋体"/>
                <w:sz w:val="28"/>
                <w:szCs w:val="28"/>
              </w:rPr>
            </w:pPr>
            <w:r>
              <w:rPr>
                <w:rFonts w:hint="eastAsia" w:ascii="宋体" w:hAnsi="宋体"/>
                <w:sz w:val="28"/>
                <w:szCs w:val="28"/>
              </w:rPr>
              <w:t>提名奖种</w:t>
            </w:r>
          </w:p>
        </w:tc>
        <w:tc>
          <w:tcPr>
            <w:tcW w:w="4124" w:type="dxa"/>
            <w:vAlign w:val="center"/>
          </w:tcPr>
          <w:p w14:paraId="3045471D">
            <w:pPr>
              <w:adjustRightInd w:val="0"/>
              <w:snapToGrid w:val="0"/>
              <w:jc w:val="center"/>
              <w:rPr>
                <w:rFonts w:ascii="宋体" w:hAnsi="宋体"/>
                <w:sz w:val="24"/>
                <w:szCs w:val="24"/>
              </w:rPr>
            </w:pPr>
            <w:r>
              <w:rPr>
                <w:rFonts w:hint="eastAsia" w:ascii="宋体" w:hAnsi="宋体"/>
                <w:sz w:val="24"/>
                <w:szCs w:val="24"/>
              </w:rPr>
              <w:t xml:space="preserve">天津市科学技术进步奖 </w:t>
            </w:r>
            <w:r>
              <w:rPr>
                <w:rFonts w:hint="eastAsia" w:eastAsia="黑体"/>
                <w:kern w:val="0"/>
                <w:sz w:val="22"/>
              </w:rPr>
              <w:t xml:space="preserve"> </w:t>
            </w:r>
          </w:p>
        </w:tc>
        <w:tc>
          <w:tcPr>
            <w:tcW w:w="1280" w:type="dxa"/>
            <w:vAlign w:val="center"/>
          </w:tcPr>
          <w:p w14:paraId="191DC688">
            <w:pPr>
              <w:jc w:val="center"/>
              <w:rPr>
                <w:rFonts w:ascii="宋体" w:hAnsi="宋体"/>
                <w:sz w:val="24"/>
                <w:szCs w:val="24"/>
              </w:rPr>
            </w:pPr>
            <w:r>
              <w:rPr>
                <w:rFonts w:hint="eastAsia" w:ascii="宋体" w:hAnsi="宋体"/>
                <w:sz w:val="24"/>
                <w:szCs w:val="24"/>
              </w:rPr>
              <w:t>等级</w:t>
            </w:r>
          </w:p>
        </w:tc>
        <w:tc>
          <w:tcPr>
            <w:tcW w:w="1756" w:type="dxa"/>
            <w:vAlign w:val="center"/>
          </w:tcPr>
          <w:p w14:paraId="363A563B">
            <w:pPr>
              <w:jc w:val="center"/>
              <w:rPr>
                <w:rFonts w:ascii="宋体" w:hAnsi="宋体"/>
                <w:sz w:val="24"/>
                <w:szCs w:val="24"/>
              </w:rPr>
            </w:pPr>
            <w:r>
              <w:rPr>
                <w:rFonts w:hint="eastAsia" w:ascii="宋体" w:hAnsi="宋体"/>
                <w:sz w:val="24"/>
                <w:szCs w:val="24"/>
              </w:rPr>
              <w:t>二等奖</w:t>
            </w:r>
          </w:p>
        </w:tc>
      </w:tr>
      <w:tr w14:paraId="3C7B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88" w:type="dxa"/>
            <w:vAlign w:val="center"/>
          </w:tcPr>
          <w:p w14:paraId="3BA76A07">
            <w:pPr>
              <w:adjustRightInd w:val="0"/>
              <w:snapToGrid w:val="0"/>
              <w:jc w:val="center"/>
              <w:rPr>
                <w:rFonts w:ascii="宋体" w:hAnsi="宋体"/>
                <w:sz w:val="28"/>
                <w:szCs w:val="28"/>
              </w:rPr>
            </w:pPr>
            <w:r>
              <w:rPr>
                <w:rFonts w:hint="eastAsia" w:ascii="宋体" w:hAnsi="宋体"/>
                <w:sz w:val="28"/>
                <w:szCs w:val="28"/>
              </w:rPr>
              <w:t>主要</w:t>
            </w:r>
          </w:p>
          <w:p w14:paraId="363CCB34">
            <w:pPr>
              <w:adjustRightInd w:val="0"/>
              <w:snapToGrid w:val="0"/>
              <w:jc w:val="center"/>
              <w:rPr>
                <w:rFonts w:ascii="宋体" w:hAnsi="宋体"/>
                <w:sz w:val="28"/>
                <w:szCs w:val="28"/>
              </w:rPr>
            </w:pPr>
            <w:r>
              <w:rPr>
                <w:rFonts w:hint="eastAsia" w:ascii="宋体" w:hAnsi="宋体"/>
                <w:sz w:val="28"/>
                <w:szCs w:val="28"/>
              </w:rPr>
              <w:t>完成单位</w:t>
            </w:r>
          </w:p>
        </w:tc>
        <w:tc>
          <w:tcPr>
            <w:tcW w:w="7161" w:type="dxa"/>
            <w:gridSpan w:val="3"/>
            <w:vAlign w:val="center"/>
          </w:tcPr>
          <w:p w14:paraId="12002E8A">
            <w:pPr>
              <w:adjustRightInd w:val="0"/>
              <w:snapToGrid w:val="0"/>
              <w:jc w:val="center"/>
              <w:rPr>
                <w:rFonts w:hint="eastAsia" w:ascii="宋体" w:hAnsi="宋体"/>
                <w:sz w:val="24"/>
                <w:szCs w:val="24"/>
                <w:lang w:val="en-US" w:eastAsia="zh-CN"/>
              </w:rPr>
            </w:pPr>
            <w:r>
              <w:rPr>
                <w:rFonts w:hint="eastAsia" w:ascii="宋体" w:hAnsi="宋体"/>
                <w:sz w:val="24"/>
                <w:szCs w:val="24"/>
                <w:lang w:val="en-US" w:eastAsia="zh-CN"/>
              </w:rPr>
              <w:t>天津农学院；大禹节水集团股份有限公司；</w:t>
            </w:r>
          </w:p>
          <w:p w14:paraId="303BB869">
            <w:pPr>
              <w:adjustRightInd w:val="0"/>
              <w:snapToGrid w:val="0"/>
              <w:jc w:val="center"/>
              <w:rPr>
                <w:rFonts w:ascii="宋体" w:hAnsi="宋体"/>
                <w:color w:val="000000" w:themeColor="text1"/>
                <w:sz w:val="22"/>
              </w:rPr>
            </w:pPr>
            <w:r>
              <w:rPr>
                <w:rFonts w:hint="eastAsia" w:ascii="宋体" w:hAnsi="宋体"/>
                <w:sz w:val="24"/>
                <w:szCs w:val="24"/>
                <w:lang w:val="en-US" w:eastAsia="zh-CN"/>
              </w:rPr>
              <w:t>天津市农业发展服务中心</w:t>
            </w:r>
          </w:p>
        </w:tc>
      </w:tr>
      <w:tr w14:paraId="0BB3A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88" w:type="dxa"/>
            <w:vAlign w:val="center"/>
          </w:tcPr>
          <w:p w14:paraId="32FE90F7">
            <w:pPr>
              <w:adjustRightInd w:val="0"/>
              <w:snapToGrid w:val="0"/>
              <w:jc w:val="center"/>
              <w:rPr>
                <w:rFonts w:ascii="宋体" w:hAnsi="宋体"/>
                <w:sz w:val="28"/>
                <w:szCs w:val="28"/>
              </w:rPr>
            </w:pPr>
            <w:r>
              <w:rPr>
                <w:rFonts w:hint="eastAsia" w:ascii="宋体" w:hAnsi="宋体"/>
                <w:sz w:val="28"/>
                <w:szCs w:val="28"/>
              </w:rPr>
              <w:t>主要</w:t>
            </w:r>
          </w:p>
          <w:p w14:paraId="6964FE71">
            <w:pPr>
              <w:adjustRightInd w:val="0"/>
              <w:snapToGrid w:val="0"/>
              <w:jc w:val="center"/>
              <w:rPr>
                <w:rFonts w:ascii="宋体" w:hAnsi="宋体"/>
                <w:sz w:val="28"/>
                <w:szCs w:val="28"/>
              </w:rPr>
            </w:pPr>
            <w:r>
              <w:rPr>
                <w:rFonts w:hint="eastAsia" w:ascii="宋体" w:hAnsi="宋体"/>
                <w:sz w:val="28"/>
                <w:szCs w:val="28"/>
              </w:rPr>
              <w:t>完成人</w:t>
            </w:r>
          </w:p>
        </w:tc>
        <w:tc>
          <w:tcPr>
            <w:tcW w:w="7161" w:type="dxa"/>
            <w:gridSpan w:val="3"/>
            <w:vAlign w:val="center"/>
          </w:tcPr>
          <w:p w14:paraId="3BFCC6D9">
            <w:pPr>
              <w:adjustRightInd w:val="0"/>
              <w:snapToGrid w:val="0"/>
              <w:spacing w:beforeLines="20" w:line="276" w:lineRule="auto"/>
              <w:rPr>
                <w:rFonts w:hint="eastAsia" w:ascii="宋体" w:hAnsi="宋体"/>
                <w:sz w:val="24"/>
                <w:szCs w:val="24"/>
                <w:lang w:val="en-US" w:eastAsia="zh-CN"/>
              </w:rPr>
            </w:pPr>
            <w:r>
              <w:rPr>
                <w:rFonts w:hint="eastAsia" w:ascii="宋体" w:hAnsi="宋体"/>
                <w:sz w:val="24"/>
                <w:szCs w:val="24"/>
                <w:lang w:val="en-US" w:eastAsia="zh-CN"/>
              </w:rPr>
              <w:t>周青云、战国隆、王仰仁、李松敏、韩娜娜、王锐竹、司红兰、</w:t>
            </w:r>
          </w:p>
          <w:p w14:paraId="65370346">
            <w:pPr>
              <w:adjustRightInd w:val="0"/>
              <w:snapToGrid w:val="0"/>
              <w:spacing w:beforeLines="20" w:line="276" w:lineRule="auto"/>
              <w:rPr>
                <w:color w:val="000000" w:themeColor="text1"/>
                <w:sz w:val="24"/>
                <w:szCs w:val="24"/>
              </w:rPr>
            </w:pPr>
            <w:r>
              <w:rPr>
                <w:rFonts w:hint="eastAsia" w:ascii="宋体" w:hAnsi="宋体"/>
                <w:sz w:val="24"/>
                <w:szCs w:val="24"/>
                <w:lang w:val="en-US" w:eastAsia="zh-CN"/>
              </w:rPr>
              <w:t>韩信</w:t>
            </w:r>
          </w:p>
        </w:tc>
      </w:tr>
      <w:tr w14:paraId="0F2E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88" w:type="dxa"/>
            <w:vAlign w:val="center"/>
          </w:tcPr>
          <w:p w14:paraId="1B2A97FC">
            <w:pPr>
              <w:jc w:val="center"/>
              <w:rPr>
                <w:rFonts w:ascii="宋体" w:hAnsi="宋体"/>
                <w:sz w:val="28"/>
                <w:szCs w:val="28"/>
              </w:rPr>
            </w:pPr>
            <w:r>
              <w:rPr>
                <w:rFonts w:hint="eastAsia" w:ascii="宋体" w:hAnsi="宋体"/>
                <w:sz w:val="28"/>
                <w:szCs w:val="28"/>
              </w:rPr>
              <w:t>提名单位</w:t>
            </w:r>
          </w:p>
        </w:tc>
        <w:tc>
          <w:tcPr>
            <w:tcW w:w="7161" w:type="dxa"/>
            <w:gridSpan w:val="3"/>
            <w:vAlign w:val="center"/>
          </w:tcPr>
          <w:p w14:paraId="046522D6">
            <w:pPr>
              <w:ind w:firstLine="240" w:firstLineChars="100"/>
              <w:jc w:val="center"/>
              <w:rPr>
                <w:rFonts w:hint="default" w:ascii="宋体" w:hAnsi="宋体" w:eastAsiaTheme="minorEastAsia"/>
                <w:sz w:val="24"/>
                <w:szCs w:val="24"/>
                <w:lang w:val="en-US" w:eastAsia="zh-CN"/>
              </w:rPr>
            </w:pPr>
            <w:r>
              <w:rPr>
                <w:rFonts w:hint="eastAsia" w:ascii="宋体" w:hAnsi="宋体"/>
                <w:sz w:val="24"/>
                <w:szCs w:val="24"/>
                <w:lang w:val="en-US" w:eastAsia="zh-CN"/>
              </w:rPr>
              <w:t>天津农学院</w:t>
            </w:r>
          </w:p>
        </w:tc>
      </w:tr>
      <w:tr w14:paraId="3610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388" w:type="dxa"/>
            <w:vAlign w:val="center"/>
          </w:tcPr>
          <w:p w14:paraId="13224560">
            <w:pPr>
              <w:adjustRightInd w:val="0"/>
              <w:snapToGrid w:val="0"/>
              <w:jc w:val="center"/>
              <w:rPr>
                <w:rFonts w:ascii="宋体" w:hAnsi="宋体"/>
                <w:sz w:val="28"/>
                <w:szCs w:val="28"/>
              </w:rPr>
            </w:pPr>
            <w:r>
              <w:rPr>
                <w:rFonts w:hint="eastAsia" w:ascii="宋体" w:hAnsi="宋体"/>
                <w:sz w:val="28"/>
                <w:szCs w:val="28"/>
              </w:rPr>
              <w:t>项目简介（不超过1000字）</w:t>
            </w:r>
          </w:p>
        </w:tc>
        <w:tc>
          <w:tcPr>
            <w:tcW w:w="7161" w:type="dxa"/>
            <w:gridSpan w:val="3"/>
            <w:vAlign w:val="center"/>
          </w:tcPr>
          <w:p w14:paraId="595BFFC8">
            <w:pPr>
              <w:keepNext w:val="0"/>
              <w:keepLines w:val="0"/>
              <w:pageBreakBefore w:val="0"/>
              <w:widowControl w:val="0"/>
              <w:kinsoku/>
              <w:wordWrap/>
              <w:overflowPunct/>
              <w:topLinePunct w:val="0"/>
              <w:autoSpaceDE/>
              <w:autoSpaceDN/>
              <w:bidi w:val="0"/>
              <w:adjustRightInd w:val="0"/>
              <w:snapToGrid w:val="0"/>
              <w:spacing w:line="360" w:lineRule="exact"/>
              <w:ind w:firstLine="539"/>
              <w:textAlignment w:val="auto"/>
              <w:rPr>
                <w:rFonts w:hint="default" w:ascii="Times New Roman" w:hAnsi="Times New Roman" w:cs="Times New Roman"/>
                <w:color w:val="auto"/>
                <w:sz w:val="24"/>
                <w:szCs w:val="24"/>
                <w:highlight w:val="none"/>
              </w:rPr>
            </w:pPr>
            <w:r>
              <w:rPr>
                <w:rFonts w:ascii="Segoe UI" w:hAnsi="Segoe UI" w:eastAsia="Segoe UI" w:cs="Segoe UI"/>
                <w:i w:val="0"/>
                <w:iCs w:val="0"/>
                <w:caps w:val="0"/>
                <w:color w:val="0F1115"/>
                <w:spacing w:val="0"/>
                <w:sz w:val="24"/>
                <w:szCs w:val="24"/>
                <w:shd w:val="clear" w:fill="FFFFFF"/>
              </w:rPr>
              <w:t>全球滨海农业带普遍面临水资源短缺与土壤盐渍化并存的双重威胁，严重制约粮食安全与生态安全。</w:t>
            </w:r>
            <w:bookmarkStart w:id="0" w:name="_GoBack"/>
            <w:r>
              <w:rPr>
                <w:rFonts w:ascii="Segoe UI" w:hAnsi="Segoe UI" w:eastAsia="Segoe UI" w:cs="Segoe UI"/>
                <w:i w:val="0"/>
                <w:iCs w:val="0"/>
                <w:caps w:val="0"/>
                <w:color w:val="0F1115"/>
                <w:spacing w:val="0"/>
                <w:sz w:val="24"/>
                <w:szCs w:val="24"/>
                <w:highlight w:val="none"/>
                <w:shd w:val="clear" w:fill="FFFFFF"/>
              </w:rPr>
              <w:t>我国灌溉水利用系数平均仅为0.576，滨海盐渍土面积达1000万公顷，而作为粮食主产区的渤海湾平原，尤其受到水资源极度匮乏与土壤盐渍化严重的共同制约。</w:t>
            </w:r>
            <w:bookmarkEnd w:id="0"/>
            <w:r>
              <w:rPr>
                <w:rFonts w:hint="default" w:ascii="Times New Roman" w:hAnsi="Times New Roman" w:cs="Times New Roman" w:eastAsiaTheme="minorEastAsia"/>
                <w:color w:val="auto"/>
                <w:sz w:val="24"/>
                <w:szCs w:val="24"/>
                <w:highlight w:val="none"/>
              </w:rPr>
              <w:t>该成果</w:t>
            </w:r>
            <w:r>
              <w:rPr>
                <w:rFonts w:hint="default" w:ascii="Times New Roman" w:hAnsi="Times New Roman" w:cs="Times New Roman"/>
                <w:color w:val="auto"/>
                <w:sz w:val="24"/>
                <w:szCs w:val="24"/>
                <w:highlight w:val="none"/>
              </w:rPr>
              <w:t>自2007年起，在国家自然科学基金、天津市科技计划、天津市农业科技成果转化与推广项目等资助下，聚焦滨海平原区农田节水控盐关键技术及装备研究与应用，在天津西青区、津南区、武清区等滨海不同盐碱化程度区域连续开展试验研究，构建了集理论方法-关键技术-产品装备-集成应用的一体化技术体系。</w:t>
            </w:r>
          </w:p>
          <w:p w14:paraId="2826220B">
            <w:pPr>
              <w:keepNext w:val="0"/>
              <w:keepLines w:val="0"/>
              <w:pageBreakBefore w:val="0"/>
              <w:widowControl w:val="0"/>
              <w:kinsoku/>
              <w:wordWrap/>
              <w:overflowPunct/>
              <w:topLinePunct w:val="0"/>
              <w:autoSpaceDE/>
              <w:autoSpaceDN/>
              <w:bidi w:val="0"/>
              <w:adjustRightInd w:val="0"/>
              <w:snapToGrid w:val="0"/>
              <w:spacing w:line="360" w:lineRule="exact"/>
              <w:ind w:firstLine="539"/>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成果</w:t>
            </w:r>
            <w:r>
              <w:rPr>
                <w:rFonts w:hint="default" w:ascii="Times New Roman" w:hAnsi="Times New Roman" w:cs="Times New Roman"/>
                <w:color w:val="auto"/>
                <w:sz w:val="24"/>
                <w:szCs w:val="24"/>
                <w:highlight w:val="none"/>
              </w:rPr>
              <w:t>融合</w:t>
            </w:r>
            <w:r>
              <w:rPr>
                <w:rFonts w:hint="eastAsia" w:ascii="Times New Roman" w:hAnsi="Times New Roman" w:cs="Times New Roman"/>
                <w:color w:val="auto"/>
                <w:sz w:val="24"/>
                <w:szCs w:val="24"/>
                <w:highlight w:val="none"/>
                <w:lang w:val="en-US" w:eastAsia="zh-CN"/>
              </w:rPr>
              <w:t>了</w:t>
            </w:r>
            <w:r>
              <w:rPr>
                <w:rFonts w:hint="default" w:ascii="Times New Roman" w:hAnsi="Times New Roman" w:cs="Times New Roman"/>
                <w:color w:val="auto"/>
                <w:sz w:val="24"/>
                <w:szCs w:val="24"/>
                <w:highlight w:val="none"/>
              </w:rPr>
              <w:t>机理模型与深度学习算法，研究参考作物需水量短中长期预测方法，基于土壤墒情的K-M法优化灌水时间与定额；考虑土壤含水率迟滞性开发作物高光谱水分诊断模型，提出</w:t>
            </w:r>
            <w:r>
              <w:rPr>
                <w:rFonts w:hint="eastAsia" w:ascii="Times New Roman" w:hAnsi="Times New Roman" w:cs="Times New Roman"/>
                <w:color w:val="auto"/>
                <w:sz w:val="24"/>
                <w:szCs w:val="24"/>
                <w:highlight w:val="none"/>
                <w:lang w:val="en-US" w:eastAsia="zh-CN"/>
              </w:rPr>
              <w:t>了</w:t>
            </w:r>
            <w:r>
              <w:rPr>
                <w:rFonts w:hint="default" w:ascii="Times New Roman" w:hAnsi="Times New Roman" w:cs="Times New Roman"/>
                <w:color w:val="auto"/>
                <w:sz w:val="24"/>
                <w:szCs w:val="24"/>
                <w:highlight w:val="none"/>
              </w:rPr>
              <w:t>基于气象、土壤、作物多源信息的作物需水智能预测方法。探明</w:t>
            </w:r>
            <w:r>
              <w:rPr>
                <w:rFonts w:hint="eastAsia" w:ascii="Times New Roman" w:hAnsi="Times New Roman" w:cs="Times New Roman"/>
                <w:color w:val="auto"/>
                <w:sz w:val="24"/>
                <w:szCs w:val="24"/>
                <w:highlight w:val="none"/>
                <w:lang w:val="en-US" w:eastAsia="zh-CN"/>
              </w:rPr>
              <w:t>了</w:t>
            </w:r>
            <w:r>
              <w:rPr>
                <w:rFonts w:hint="default" w:ascii="Times New Roman" w:hAnsi="Times New Roman" w:cs="Times New Roman"/>
                <w:color w:val="auto"/>
                <w:sz w:val="24"/>
                <w:szCs w:val="24"/>
                <w:highlight w:val="none"/>
              </w:rPr>
              <w:t>盐离子与总盐定量关系，构建</w:t>
            </w:r>
            <w:r>
              <w:rPr>
                <w:rFonts w:hint="eastAsia" w:ascii="Times New Roman" w:hAnsi="Times New Roman" w:cs="Times New Roman"/>
                <w:color w:val="auto"/>
                <w:sz w:val="24"/>
                <w:szCs w:val="24"/>
                <w:highlight w:val="none"/>
                <w:lang w:val="en-US" w:eastAsia="zh-CN"/>
              </w:rPr>
              <w:t>了</w:t>
            </w:r>
            <w:r>
              <w:rPr>
                <w:rFonts w:hint="default" w:ascii="Times New Roman" w:hAnsi="Times New Roman" w:cs="Times New Roman"/>
                <w:color w:val="auto"/>
                <w:sz w:val="24"/>
                <w:szCs w:val="24"/>
                <w:highlight w:val="none"/>
              </w:rPr>
              <w:t>滴灌条件下盐碱化土壤剖面盐离子迁移转化模型，量化</w:t>
            </w:r>
            <w:r>
              <w:rPr>
                <w:rFonts w:hint="eastAsia" w:ascii="Times New Roman" w:hAnsi="Times New Roman" w:cs="Times New Roman"/>
                <w:color w:val="auto"/>
                <w:sz w:val="24"/>
                <w:szCs w:val="24"/>
                <w:highlight w:val="none"/>
                <w:lang w:val="en-US" w:eastAsia="zh-CN"/>
              </w:rPr>
              <w:t>了</w:t>
            </w:r>
            <w:r>
              <w:rPr>
                <w:rFonts w:hint="default" w:ascii="Times New Roman" w:hAnsi="Times New Roman" w:cs="Times New Roman"/>
                <w:color w:val="auto"/>
                <w:sz w:val="24"/>
                <w:szCs w:val="24"/>
                <w:highlight w:val="none"/>
              </w:rPr>
              <w:t>玉米器官盐分迁移与生长耦合规律，构建基于盐离子胁迫修正函数的作物生长模型，提出了工程与非工程措施协同优化的节水降盐增效技术模型，确定</w:t>
            </w:r>
            <w:r>
              <w:rPr>
                <w:rFonts w:hint="eastAsia" w:ascii="Times New Roman" w:hAnsi="Times New Roman" w:cs="Times New Roman"/>
                <w:color w:val="auto"/>
                <w:sz w:val="24"/>
                <w:szCs w:val="24"/>
                <w:highlight w:val="none"/>
                <w:lang w:val="en-US" w:eastAsia="zh-CN"/>
              </w:rPr>
              <w:t>了</w:t>
            </w:r>
            <w:r>
              <w:rPr>
                <w:rFonts w:hint="default" w:ascii="Times New Roman" w:hAnsi="Times New Roman" w:cs="Times New Roman"/>
                <w:color w:val="auto"/>
                <w:sz w:val="24"/>
                <w:szCs w:val="24"/>
                <w:highlight w:val="none"/>
              </w:rPr>
              <w:t>设施果蔬立体化控节水协同调控技术参数。针对滨海盐碱地滴灌产品存在的灌水器堵塞、核心装备制造效率低与寿命短的瓶颈，研制</w:t>
            </w:r>
            <w:r>
              <w:rPr>
                <w:rFonts w:hint="eastAsia" w:ascii="Times New Roman" w:hAnsi="Times New Roman" w:cs="Times New Roman"/>
                <w:color w:val="auto"/>
                <w:sz w:val="24"/>
                <w:szCs w:val="24"/>
                <w:highlight w:val="none"/>
                <w:lang w:val="en-US" w:eastAsia="zh-CN"/>
              </w:rPr>
              <w:t>了</w:t>
            </w:r>
            <w:r>
              <w:rPr>
                <w:rFonts w:hint="default" w:ascii="Times New Roman" w:hAnsi="Times New Roman" w:cs="Times New Roman"/>
                <w:color w:val="auto"/>
                <w:sz w:val="24"/>
                <w:szCs w:val="24"/>
                <w:highlight w:val="none"/>
              </w:rPr>
              <w:t>技术指标参数优良的灌水器和过滤器等系列产品，搭建</w:t>
            </w:r>
            <w:r>
              <w:rPr>
                <w:rFonts w:hint="eastAsia" w:ascii="Times New Roman" w:hAnsi="Times New Roman" w:cs="Times New Roman"/>
                <w:color w:val="auto"/>
                <w:sz w:val="24"/>
                <w:szCs w:val="24"/>
                <w:highlight w:val="none"/>
                <w:lang w:val="en-US" w:eastAsia="zh-CN"/>
              </w:rPr>
              <w:t>了</w:t>
            </w:r>
            <w:r>
              <w:rPr>
                <w:rFonts w:hint="default" w:ascii="Times New Roman" w:hAnsi="Times New Roman" w:cs="Times New Roman"/>
                <w:color w:val="auto"/>
                <w:sz w:val="24"/>
                <w:szCs w:val="24"/>
                <w:highlight w:val="none"/>
              </w:rPr>
              <w:t>节水控盐智慧管控平台。考虑滨海盐渍化地区农业水土环境特点，研究不同盐碱化程度的节水控盐技术，提出</w:t>
            </w:r>
            <w:r>
              <w:rPr>
                <w:rFonts w:hint="eastAsia" w:ascii="Times New Roman" w:hAnsi="Times New Roman" w:cs="Times New Roman"/>
                <w:color w:val="auto"/>
                <w:sz w:val="24"/>
                <w:szCs w:val="24"/>
                <w:highlight w:val="none"/>
                <w:lang w:val="en-US" w:eastAsia="zh-CN"/>
              </w:rPr>
              <w:t>了</w:t>
            </w:r>
            <w:r>
              <w:rPr>
                <w:rFonts w:hint="default" w:ascii="Times New Roman" w:hAnsi="Times New Roman" w:cs="Times New Roman"/>
                <w:color w:val="auto"/>
                <w:sz w:val="24"/>
                <w:szCs w:val="24"/>
                <w:highlight w:val="none"/>
              </w:rPr>
              <w:t>多种节水控盐技术应用模式并推广应用。</w:t>
            </w:r>
          </w:p>
          <w:p w14:paraId="26BD9FCA">
            <w:pPr>
              <w:keepNext w:val="0"/>
              <w:keepLines w:val="0"/>
              <w:pageBreakBefore w:val="0"/>
              <w:widowControl w:val="0"/>
              <w:kinsoku/>
              <w:wordWrap/>
              <w:overflowPunct/>
              <w:topLinePunct w:val="0"/>
              <w:autoSpaceDE/>
              <w:autoSpaceDN/>
              <w:bidi w:val="0"/>
              <w:adjustRightInd w:val="0"/>
              <w:snapToGrid w:val="0"/>
              <w:spacing w:line="360" w:lineRule="exact"/>
              <w:ind w:firstLine="539"/>
              <w:textAlignment w:val="auto"/>
            </w:pPr>
            <w:r>
              <w:rPr>
                <w:rFonts w:hint="default" w:ascii="Times New Roman" w:hAnsi="Times New Roman" w:cs="Times New Roman"/>
                <w:color w:val="auto"/>
                <w:sz w:val="24"/>
                <w:szCs w:val="24"/>
                <w:highlight w:val="none"/>
              </w:rPr>
              <w:t>成果构建的节水控盐技术体系有效促进了滨海盐碱地农业绿色高质量发展，提升了区域水土资源利用效率，为相同类型区域的盐碱治理与农业可持续开发提供了重要技术支撑和示范模式。</w:t>
            </w:r>
          </w:p>
        </w:tc>
      </w:tr>
      <w:tr w14:paraId="3613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0" w:hRule="atLeast"/>
        </w:trPr>
        <w:tc>
          <w:tcPr>
            <w:tcW w:w="1388" w:type="dxa"/>
            <w:vAlign w:val="center"/>
          </w:tcPr>
          <w:p w14:paraId="31BAF521">
            <w:pPr>
              <w:adjustRightInd w:val="0"/>
              <w:snapToGrid w:val="0"/>
              <w:jc w:val="center"/>
              <w:rPr>
                <w:rFonts w:ascii="宋体" w:hAnsi="宋体"/>
                <w:sz w:val="28"/>
                <w:szCs w:val="28"/>
              </w:rPr>
            </w:pPr>
            <w:r>
              <w:rPr>
                <w:rFonts w:hint="eastAsia" w:ascii="宋体" w:hAnsi="宋体"/>
                <w:sz w:val="28"/>
                <w:szCs w:val="28"/>
              </w:rPr>
              <w:t>主要技术支撑材料</w:t>
            </w:r>
          </w:p>
        </w:tc>
        <w:tc>
          <w:tcPr>
            <w:tcW w:w="7161" w:type="dxa"/>
            <w:gridSpan w:val="3"/>
            <w:vAlign w:val="center"/>
          </w:tcPr>
          <w:p w14:paraId="5B7D1A8F">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1-发明专利-</w:t>
            </w:r>
            <w:r>
              <w:rPr>
                <w:rFonts w:hint="default" w:ascii="Times New Roman" w:hAnsi="Times New Roman" w:eastAsia="宋体" w:cs="Times New Roman"/>
                <w:kern w:val="0"/>
                <w:sz w:val="24"/>
              </w:rPr>
              <w:t>一种基于临界氮浓度的夏玉米氮素高光谱预测方法</w:t>
            </w:r>
          </w:p>
          <w:p w14:paraId="040B5BF5">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2-发明专利-</w:t>
            </w:r>
            <w:r>
              <w:rPr>
                <w:rFonts w:hint="default" w:ascii="Times New Roman" w:hAnsi="Times New Roman" w:eastAsia="宋体" w:cs="Times New Roman"/>
                <w:kern w:val="0"/>
                <w:sz w:val="24"/>
              </w:rPr>
              <w:t>太阳能供地热的温室重力滴灌系统</w:t>
            </w:r>
          </w:p>
          <w:p w14:paraId="62998250">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3-发明专利-</w:t>
            </w:r>
            <w:r>
              <w:rPr>
                <w:rFonts w:hint="default" w:ascii="Times New Roman" w:hAnsi="Times New Roman" w:eastAsia="宋体" w:cs="Times New Roman"/>
                <w:kern w:val="0"/>
                <w:sz w:val="24"/>
              </w:rPr>
              <w:t>夏玉米植株叶片-冠层一像元尺度氮浓度协同预测方法</w:t>
            </w:r>
          </w:p>
          <w:p w14:paraId="0DE91409">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4-</w:t>
            </w:r>
            <w:r>
              <w:rPr>
                <w:rFonts w:hint="default" w:ascii="Times New Roman" w:hAnsi="Times New Roman" w:eastAsia="宋体" w:cs="Times New Roman"/>
                <w:kern w:val="0"/>
                <w:sz w:val="24"/>
              </w:rPr>
              <w:t>实用新型专利</w:t>
            </w:r>
            <w:r>
              <w:rPr>
                <w:rFonts w:hint="eastAsia" w:ascii="Times New Roman" w:hAnsi="Times New Roman" w:eastAsia="宋体" w:cs="Times New Roman"/>
                <w:kern w:val="0"/>
                <w:sz w:val="24"/>
                <w:lang w:val="en-US" w:eastAsia="zh-CN"/>
              </w:rPr>
              <w:t>-</w:t>
            </w:r>
            <w:r>
              <w:rPr>
                <w:rFonts w:hint="default" w:ascii="Times New Roman" w:hAnsi="Times New Roman" w:eastAsia="宋体" w:cs="Times New Roman"/>
                <w:kern w:val="0"/>
                <w:sz w:val="24"/>
              </w:rPr>
              <w:t>一种节能环保的负压灌溉自动调控系统</w:t>
            </w:r>
          </w:p>
          <w:p w14:paraId="3847082B">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5-</w:t>
            </w:r>
            <w:r>
              <w:rPr>
                <w:rFonts w:hint="default" w:ascii="Times New Roman" w:hAnsi="Times New Roman" w:eastAsia="宋体" w:cs="Times New Roman"/>
                <w:kern w:val="0"/>
                <w:sz w:val="24"/>
              </w:rPr>
              <w:t>实用新型专利</w:t>
            </w:r>
            <w:r>
              <w:rPr>
                <w:rFonts w:hint="eastAsia" w:ascii="Times New Roman" w:hAnsi="Times New Roman" w:eastAsia="宋体" w:cs="Times New Roman"/>
                <w:kern w:val="0"/>
                <w:sz w:val="24"/>
                <w:lang w:val="en-US" w:eastAsia="zh-CN"/>
              </w:rPr>
              <w:t>-</w:t>
            </w:r>
            <w:r>
              <w:rPr>
                <w:rFonts w:hint="default" w:ascii="Times New Roman" w:hAnsi="Times New Roman" w:eastAsia="宋体" w:cs="Times New Roman"/>
                <w:kern w:val="0"/>
                <w:sz w:val="24"/>
              </w:rPr>
              <w:t>一种滴灌用过滤器</w:t>
            </w:r>
          </w:p>
          <w:p w14:paraId="27C75F36">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6-</w:t>
            </w:r>
            <w:r>
              <w:rPr>
                <w:rFonts w:hint="default" w:ascii="Times New Roman" w:hAnsi="Times New Roman" w:eastAsia="宋体" w:cs="Times New Roman"/>
                <w:kern w:val="0"/>
                <w:sz w:val="24"/>
              </w:rPr>
              <w:t>实用新型专利</w:t>
            </w:r>
            <w:r>
              <w:rPr>
                <w:rFonts w:hint="eastAsia" w:ascii="Times New Roman" w:hAnsi="Times New Roman" w:eastAsia="宋体" w:cs="Times New Roman"/>
                <w:kern w:val="0"/>
                <w:sz w:val="24"/>
                <w:lang w:val="en-US" w:eastAsia="zh-CN"/>
              </w:rPr>
              <w:t>-</w:t>
            </w:r>
            <w:r>
              <w:rPr>
                <w:rFonts w:hint="default" w:ascii="Times New Roman" w:hAnsi="Times New Roman" w:eastAsia="宋体" w:cs="Times New Roman"/>
                <w:kern w:val="0"/>
                <w:sz w:val="24"/>
              </w:rPr>
              <w:t>一种手动反冲洗网式过滤器</w:t>
            </w:r>
          </w:p>
          <w:p w14:paraId="4188FA8F">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eastAsia="宋体"/>
                <w:lang w:val="en-US" w:eastAsia="zh-CN"/>
              </w:rPr>
            </w:pPr>
            <w:r>
              <w:rPr>
                <w:rFonts w:hint="eastAsia" w:ascii="Times New Roman" w:hAnsi="Times New Roman" w:eastAsia="宋体" w:cs="Times New Roman"/>
                <w:kern w:val="0"/>
                <w:sz w:val="24"/>
                <w:lang w:val="en-US" w:eastAsia="zh-CN"/>
              </w:rPr>
              <w:t>7-软件著作权-</w:t>
            </w:r>
            <w:r>
              <w:rPr>
                <w:rFonts w:hint="default" w:ascii="Times New Roman" w:hAnsi="Times New Roman" w:eastAsia="宋体" w:cs="Times New Roman"/>
                <w:kern w:val="0"/>
                <w:sz w:val="24"/>
              </w:rPr>
              <w:t>作物耗水量实时预报系统V1.0</w:t>
            </w:r>
            <w:r>
              <w:rPr>
                <w:rFonts w:hint="eastAsia" w:eastAsia="宋体"/>
                <w:lang w:val="en-US" w:eastAsia="zh-CN"/>
              </w:rPr>
              <w:t xml:space="preserve"> </w:t>
            </w:r>
          </w:p>
          <w:p w14:paraId="60947B60">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8-软件著作权-</w:t>
            </w:r>
            <w:r>
              <w:rPr>
                <w:rFonts w:hint="default" w:ascii="Times New Roman" w:hAnsi="Times New Roman" w:eastAsia="宋体" w:cs="Times New Roman"/>
                <w:kern w:val="0"/>
                <w:sz w:val="24"/>
              </w:rPr>
              <w:t>参考作物蒸散量ET0自动计算系统V1.0</w:t>
            </w:r>
          </w:p>
          <w:p w14:paraId="631E58C8">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9-软件著作权-</w:t>
            </w:r>
            <w:r>
              <w:rPr>
                <w:rFonts w:hint="default" w:ascii="Times New Roman" w:hAnsi="Times New Roman" w:eastAsia="宋体" w:cs="Times New Roman"/>
                <w:kern w:val="0"/>
                <w:sz w:val="24"/>
              </w:rPr>
              <w:t>大禹慧水云管理系统V1.0</w:t>
            </w:r>
          </w:p>
          <w:p w14:paraId="5E939D3E">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10-软件著作权-</w:t>
            </w:r>
            <w:r>
              <w:rPr>
                <w:rFonts w:hint="default" w:ascii="Times New Roman" w:hAnsi="Times New Roman" w:eastAsia="宋体" w:cs="Times New Roman"/>
                <w:kern w:val="0"/>
                <w:sz w:val="24"/>
              </w:rPr>
              <w:t>大禹物联网大数据云端服务平台V1.0</w:t>
            </w:r>
          </w:p>
          <w:p w14:paraId="01D795B0">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11-代表性论文-</w:t>
            </w:r>
            <w:r>
              <w:rPr>
                <w:rFonts w:hint="default" w:ascii="Times New Roman" w:hAnsi="Times New Roman" w:eastAsia="宋体" w:cs="Times New Roman"/>
                <w:kern w:val="0"/>
                <w:sz w:val="24"/>
                <w:lang w:val="en-US" w:eastAsia="zh-CN"/>
              </w:rPr>
              <w:t>Prediction of reference crop evapotranspiration based on improved convolutional neural network (CNN) and long short-term memory network (LSTM) models in Northeast China.</w:t>
            </w:r>
          </w:p>
          <w:p w14:paraId="4D2EE3CE">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12-代表性论文-</w:t>
            </w:r>
            <w:r>
              <w:rPr>
                <w:rFonts w:hint="default" w:ascii="Times New Roman" w:hAnsi="Times New Roman" w:eastAsia="宋体" w:cs="Times New Roman"/>
                <w:kern w:val="0"/>
                <w:sz w:val="24"/>
                <w:lang w:val="en-US" w:eastAsia="zh-CN"/>
              </w:rPr>
              <w:t xml:space="preserve"> Modeling of summer maize transpiration considering morphogenesis</w:t>
            </w:r>
          </w:p>
          <w:p w14:paraId="0BB3BC07">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13-代表性论文-</w:t>
            </w:r>
            <w:r>
              <w:rPr>
                <w:rFonts w:hint="default" w:ascii="Times New Roman" w:hAnsi="Times New Roman" w:eastAsia="宋体" w:cs="Times New Roman"/>
                <w:kern w:val="0"/>
                <w:sz w:val="24"/>
                <w:lang w:val="en-US" w:eastAsia="zh-CN"/>
              </w:rPr>
              <w:t xml:space="preserve"> Real-time methods for short and medium-term evapotranspiration forecasting using dynamic crop coefficient and historical threshold</w:t>
            </w:r>
          </w:p>
          <w:p w14:paraId="23DCC35E">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14-代表性论文-</w:t>
            </w:r>
            <w:r>
              <w:rPr>
                <w:rFonts w:hint="default" w:ascii="Times New Roman" w:hAnsi="Times New Roman" w:eastAsia="宋体" w:cs="Times New Roman"/>
                <w:kern w:val="0"/>
                <w:sz w:val="24"/>
                <w:lang w:val="en-US" w:eastAsia="zh-CN"/>
              </w:rPr>
              <w:t xml:space="preserve"> Comparison of the differences of sensible heat flux observation methods at different spatial scales in North China Plain</w:t>
            </w:r>
          </w:p>
          <w:p w14:paraId="33FD94FE">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15-代表性论文-</w:t>
            </w:r>
            <w:r>
              <w:rPr>
                <w:rFonts w:hint="default" w:ascii="Times New Roman" w:hAnsi="Times New Roman" w:eastAsia="宋体" w:cs="Times New Roman"/>
                <w:kern w:val="0"/>
                <w:sz w:val="24"/>
                <w:lang w:val="en-US" w:eastAsia="zh-CN"/>
              </w:rPr>
              <w:t xml:space="preserve"> Rapid Diagnosis of Nitrogen Nutrition Status in Summer Maize over Its Life Cycle by a Multi-Index Synergy Model Using Ground Hyperspectral and UAV Multispectral Sensor Data</w:t>
            </w:r>
          </w:p>
          <w:p w14:paraId="11BA20A5">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宋体" w:cs="Times New Roman"/>
                <w:kern w:val="0"/>
                <w:sz w:val="24"/>
                <w:highlight w:val="none"/>
                <w:lang w:val="en-US" w:eastAsia="zh-CN"/>
              </w:rPr>
            </w:pPr>
            <w:r>
              <w:rPr>
                <w:rFonts w:hint="eastAsia" w:ascii="Times New Roman" w:hAnsi="Times New Roman" w:eastAsia="宋体" w:cs="Times New Roman"/>
                <w:kern w:val="0"/>
                <w:sz w:val="24"/>
                <w:lang w:val="en-US" w:eastAsia="zh-CN"/>
              </w:rPr>
              <w:t>16-代表性论文-</w:t>
            </w:r>
            <w:r>
              <w:rPr>
                <w:rFonts w:hint="default" w:ascii="Times New Roman" w:hAnsi="Times New Roman" w:eastAsia="宋体" w:cs="Times New Roman"/>
                <w:kern w:val="0"/>
                <w:sz w:val="24"/>
                <w:lang w:val="en-US" w:eastAsia="zh-CN"/>
              </w:rPr>
              <w:t xml:space="preserve"> </w:t>
            </w:r>
            <w:r>
              <w:rPr>
                <w:rFonts w:hint="eastAsia" w:ascii="Times New Roman" w:hAnsi="Times New Roman" w:eastAsia="宋体" w:cs="Times New Roman"/>
                <w:kern w:val="0"/>
                <w:sz w:val="24"/>
                <w:highlight w:val="none"/>
                <w:lang w:val="en-US" w:eastAsia="zh-CN"/>
              </w:rPr>
              <w:t xml:space="preserve"> 不同灌水处理下滨海盐碱地土壤-玉米阳离子变化规律及相关关系研究</w:t>
            </w:r>
          </w:p>
          <w:p w14:paraId="21B27022">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highlight w:val="none"/>
                <w:lang w:val="en-US" w:eastAsia="zh-CN"/>
              </w:rPr>
              <w:t>17-代表性论文-</w:t>
            </w:r>
            <w:r>
              <w:rPr>
                <w:rFonts w:hint="default" w:ascii="Times New Roman" w:hAnsi="Times New Roman" w:eastAsia="宋体" w:cs="Times New Roman"/>
                <w:kern w:val="0"/>
                <w:sz w:val="24"/>
                <w:highlight w:val="none"/>
                <w:lang w:val="en-US" w:eastAsia="zh-CN"/>
              </w:rPr>
              <w:t xml:space="preserve"> 不同灌溉方式</w:t>
            </w:r>
            <w:r>
              <w:rPr>
                <w:rFonts w:hint="default" w:ascii="Times New Roman" w:hAnsi="Times New Roman" w:eastAsia="宋体" w:cs="Times New Roman"/>
                <w:kern w:val="0"/>
                <w:sz w:val="24"/>
                <w:lang w:val="en-US" w:eastAsia="zh-CN"/>
              </w:rPr>
              <w:t>和灌水定额对夏玉米生长的影响及AquaCrop模型的适应性研究</w:t>
            </w:r>
          </w:p>
          <w:p w14:paraId="1E383338">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sz w:val="24"/>
              </w:rPr>
            </w:pPr>
            <w:r>
              <w:rPr>
                <w:rFonts w:hint="eastAsia" w:ascii="Times New Roman" w:hAnsi="Times New Roman" w:eastAsia="宋体" w:cs="Times New Roman"/>
                <w:kern w:val="0"/>
                <w:sz w:val="24"/>
                <w:lang w:val="en-US" w:eastAsia="zh-CN"/>
              </w:rPr>
              <w:t>18-代表性专著-</w:t>
            </w:r>
            <w:r>
              <w:rPr>
                <w:rFonts w:hint="default" w:ascii="Times New Roman" w:hAnsi="Times New Roman" w:eastAsia="宋体" w:cs="Times New Roman"/>
                <w:kern w:val="0"/>
                <w:sz w:val="24"/>
                <w:lang w:val="en-US" w:eastAsia="zh-CN"/>
              </w:rPr>
              <w:t xml:space="preserve"> 旱作农田水土环境调控理论与实践</w:t>
            </w:r>
          </w:p>
          <w:p w14:paraId="7EF8CB4F">
            <w:pPr>
              <w:rPr>
                <w:rFonts w:ascii="宋体" w:hAnsi="宋体"/>
                <w:sz w:val="24"/>
              </w:rPr>
            </w:pPr>
          </w:p>
        </w:tc>
      </w:tr>
    </w:tbl>
    <w:p w14:paraId="5369CC97">
      <w:pPr>
        <w:jc w:val="center"/>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Q4NGE3OGVmN2YyM2MwZDY1ZWQ2OGQ1NzUwNTIxNzEifQ=="/>
  </w:docVars>
  <w:rsids>
    <w:rsidRoot w:val="00695E2D"/>
    <w:rsid w:val="0000484C"/>
    <w:rsid w:val="0000520D"/>
    <w:rsid w:val="00006747"/>
    <w:rsid w:val="00031A35"/>
    <w:rsid w:val="000468C6"/>
    <w:rsid w:val="00095E3C"/>
    <w:rsid w:val="000B1D64"/>
    <w:rsid w:val="000B2DAF"/>
    <w:rsid w:val="00135523"/>
    <w:rsid w:val="001474B3"/>
    <w:rsid w:val="00167B57"/>
    <w:rsid w:val="00187B86"/>
    <w:rsid w:val="001B0AD9"/>
    <w:rsid w:val="001B44AF"/>
    <w:rsid w:val="001B502D"/>
    <w:rsid w:val="00224CF1"/>
    <w:rsid w:val="00262370"/>
    <w:rsid w:val="002A30D5"/>
    <w:rsid w:val="0030262F"/>
    <w:rsid w:val="00337655"/>
    <w:rsid w:val="0034321F"/>
    <w:rsid w:val="00375006"/>
    <w:rsid w:val="00385BA4"/>
    <w:rsid w:val="003A05CC"/>
    <w:rsid w:val="003C7EBD"/>
    <w:rsid w:val="003D6810"/>
    <w:rsid w:val="004637DD"/>
    <w:rsid w:val="00465054"/>
    <w:rsid w:val="004A221C"/>
    <w:rsid w:val="004D45B5"/>
    <w:rsid w:val="004E7576"/>
    <w:rsid w:val="0052408A"/>
    <w:rsid w:val="0052711B"/>
    <w:rsid w:val="005C1EBA"/>
    <w:rsid w:val="006015EA"/>
    <w:rsid w:val="006277A6"/>
    <w:rsid w:val="00630621"/>
    <w:rsid w:val="00660A5D"/>
    <w:rsid w:val="006715F0"/>
    <w:rsid w:val="00673A2C"/>
    <w:rsid w:val="006843D0"/>
    <w:rsid w:val="00695E2D"/>
    <w:rsid w:val="006D573A"/>
    <w:rsid w:val="006E5E7C"/>
    <w:rsid w:val="007178C0"/>
    <w:rsid w:val="00735B3A"/>
    <w:rsid w:val="00743411"/>
    <w:rsid w:val="00745804"/>
    <w:rsid w:val="007513F7"/>
    <w:rsid w:val="00755C14"/>
    <w:rsid w:val="00757BAB"/>
    <w:rsid w:val="00761B2E"/>
    <w:rsid w:val="007736DE"/>
    <w:rsid w:val="0079003E"/>
    <w:rsid w:val="007C2E4C"/>
    <w:rsid w:val="00823B1D"/>
    <w:rsid w:val="00893138"/>
    <w:rsid w:val="008F59C3"/>
    <w:rsid w:val="009862AF"/>
    <w:rsid w:val="009A6D90"/>
    <w:rsid w:val="009A7966"/>
    <w:rsid w:val="009B29E4"/>
    <w:rsid w:val="009C2EEA"/>
    <w:rsid w:val="009F4F8D"/>
    <w:rsid w:val="00A23930"/>
    <w:rsid w:val="00A35A96"/>
    <w:rsid w:val="00A36031"/>
    <w:rsid w:val="00A713B5"/>
    <w:rsid w:val="00AC0D77"/>
    <w:rsid w:val="00AF1EE9"/>
    <w:rsid w:val="00B84A71"/>
    <w:rsid w:val="00C522B7"/>
    <w:rsid w:val="00CA2777"/>
    <w:rsid w:val="00CA4ABB"/>
    <w:rsid w:val="00CB4093"/>
    <w:rsid w:val="00CE2F6E"/>
    <w:rsid w:val="00D02149"/>
    <w:rsid w:val="00D05A38"/>
    <w:rsid w:val="00D13D54"/>
    <w:rsid w:val="00D54D12"/>
    <w:rsid w:val="00D551E7"/>
    <w:rsid w:val="00D7420D"/>
    <w:rsid w:val="00DE3CB2"/>
    <w:rsid w:val="00DE7D04"/>
    <w:rsid w:val="00E33CE1"/>
    <w:rsid w:val="00E71895"/>
    <w:rsid w:val="00E83B62"/>
    <w:rsid w:val="00EF51EB"/>
    <w:rsid w:val="00F0150C"/>
    <w:rsid w:val="00F05B73"/>
    <w:rsid w:val="00F4699F"/>
    <w:rsid w:val="00F75ADE"/>
    <w:rsid w:val="00F871E1"/>
    <w:rsid w:val="00F935DE"/>
    <w:rsid w:val="00FA79DC"/>
    <w:rsid w:val="00FA7B6E"/>
    <w:rsid w:val="00FD276C"/>
    <w:rsid w:val="00FE0E7D"/>
    <w:rsid w:val="00FF7947"/>
    <w:rsid w:val="087B137C"/>
    <w:rsid w:val="0B985D49"/>
    <w:rsid w:val="0CDF23FD"/>
    <w:rsid w:val="0E8D4FB7"/>
    <w:rsid w:val="105B171F"/>
    <w:rsid w:val="3E7C549E"/>
    <w:rsid w:val="45B861AF"/>
    <w:rsid w:val="4EA84268"/>
    <w:rsid w:val="65A448D4"/>
    <w:rsid w:val="66594EF6"/>
    <w:rsid w:val="7735681F"/>
    <w:rsid w:val="774336F9"/>
    <w:rsid w:val="7CE64B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99"/>
    <w:pPr>
      <w:spacing w:line="360" w:lineRule="auto"/>
      <w:ind w:firstLine="480" w:firstLineChars="200"/>
    </w:pPr>
    <w:rPr>
      <w:rFonts w:ascii="仿宋_GB2312" w:hAnsi="Times New Roman" w:eastAsia="宋体" w:cs="Times New Roman"/>
      <w:sz w:val="24"/>
      <w:szCs w:val="20"/>
    </w:rPr>
  </w:style>
  <w:style w:type="paragraph" w:styleId="3">
    <w:name w:val="Date"/>
    <w:basedOn w:val="1"/>
    <w:next w:val="1"/>
    <w:link w:val="12"/>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Emphasis"/>
    <w:basedOn w:val="8"/>
    <w:qFormat/>
    <w:uiPriority w:val="20"/>
    <w:rPr>
      <w:i/>
      <w:iCs/>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日期 Char"/>
    <w:basedOn w:val="8"/>
    <w:link w:val="3"/>
    <w:semiHidden/>
    <w:qFormat/>
    <w:uiPriority w:val="99"/>
  </w:style>
  <w:style w:type="character" w:customStyle="1" w:styleId="13">
    <w:name w:val="纯文本 Char"/>
    <w:basedOn w:val="8"/>
    <w:link w:val="2"/>
    <w:qFormat/>
    <w:uiPriority w:val="99"/>
    <w:rPr>
      <w:rFonts w:ascii="仿宋_GB2312" w:hAnsi="Times New Roman" w:eastAsia="宋体" w:cs="Times New Roman"/>
      <w:sz w:val="24"/>
      <w:szCs w:val="20"/>
    </w:rPr>
  </w:style>
  <w:style w:type="paragraph" w:styleId="14">
    <w:name w:val="List Paragraph"/>
    <w:basedOn w:val="1"/>
    <w:qFormat/>
    <w:uiPriority w:val="34"/>
    <w:pPr>
      <w:ind w:firstLine="420" w:firstLineChars="200"/>
    </w:pPr>
    <w:rPr>
      <w:rFonts w:ascii="Times New Roman" w:hAnsi="Times New Roman" w:eastAsia="宋体" w:cs="Times New Roman"/>
      <w:szCs w:val="24"/>
    </w:rPr>
  </w:style>
  <w:style w:type="paragraph" w:customStyle="1" w:styleId="15">
    <w:name w:val="书目2"/>
    <w:basedOn w:val="1"/>
    <w:next w:val="1"/>
    <w:unhideWhenUsed/>
    <w:qFormat/>
    <w:uiPriority w:val="37"/>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1304</Words>
  <Characters>1855</Characters>
  <Lines>1</Lines>
  <Paragraphs>1</Paragraphs>
  <TotalTime>27</TotalTime>
  <ScaleCrop>false</ScaleCrop>
  <LinksUpToDate>false</LinksUpToDate>
  <CharactersWithSpaces>1949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2025-09-12T06:07:00Z</dcterms:created>
  <dc:creator>User</dc:creator>
  <cp:lastModifiedBy>寒流</cp:lastModifiedBy>
  <dcterms:modified xsi:type="dcterms:W3CDTF">2025-09-14T13:37:38Z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7E46112C91EC467199A03459E0F1BCD5</vt:lpwstr>
  </property>
  <property fmtid="{D5CDD505-2E9C-101B-9397-08002B2CF9AE}" pid="4" name="KSOTemplateDocerSaveRecord">
    <vt:lpwstr>eyJoZGlkIjoiZDk2ZDUzNWQ0MTdmNDE5NzY2ZGNkNzRmODY1Njc0MGIifQ==</vt:lpwstr>
  </property>
</Properties>
</file>